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1F" w:rsidRDefault="002A4B42" w:rsidP="002A4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OBRAZAC OBVEZE – raz 22</w:t>
      </w:r>
    </w:p>
    <w:p w:rsidR="002A4B42" w:rsidRDefault="002A4B42" w:rsidP="002A4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42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>razdoblje siječanj – ožujak 2015.</w:t>
      </w:r>
    </w:p>
    <w:p w:rsidR="002A4B42" w:rsidRDefault="002A4B42" w:rsidP="002A4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42" w:rsidRP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42">
        <w:rPr>
          <w:rFonts w:ascii="Times New Roman" w:hAnsi="Times New Roman" w:cs="Times New Roman"/>
          <w:b/>
          <w:sz w:val="24"/>
          <w:szCs w:val="24"/>
          <w:u w:val="single"/>
        </w:rPr>
        <w:t>Bilješka br. 1</w:t>
      </w:r>
    </w:p>
    <w:p w:rsidR="002A4B42" w:rsidRP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42">
        <w:rPr>
          <w:rFonts w:ascii="Times New Roman" w:hAnsi="Times New Roman" w:cs="Times New Roman"/>
          <w:sz w:val="24"/>
          <w:szCs w:val="24"/>
        </w:rPr>
        <w:t xml:space="preserve">AOP 038 Obveza </w:t>
      </w:r>
      <w:r>
        <w:rPr>
          <w:rFonts w:ascii="Times New Roman" w:hAnsi="Times New Roman" w:cs="Times New Roman"/>
          <w:sz w:val="24"/>
          <w:szCs w:val="24"/>
        </w:rPr>
        <w:t>na kraju izvještajnog razdoblja iznosi 8.289.389,00 kuna i za 1.776.118,00 kuna manje su u odnosu na stanje 01.01.2015. odnosno manje su za 8%.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097 Nedospjele obveze na dan 31.03.2015. godine iznose 926.217,00 kuna.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085 Pre</w:t>
      </w:r>
      <w:r w:rsidR="00077138">
        <w:rPr>
          <w:rFonts w:ascii="Times New Roman" w:hAnsi="Times New Roman" w:cs="Times New Roman"/>
          <w:sz w:val="24"/>
          <w:szCs w:val="24"/>
        </w:rPr>
        <w:t>koračenje obveza preko 360 dana - 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iskazani iznos uključene su i obračunane, nenaplaćene obveze za naknadu za uređenje voda u iznosu od 2.773.814,00 kuna. 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obveza je zapravo potraživanje Hrvatskih voda od kupaca te nije obveza Grada Supetra. Ova potraživanja se samo vode kao evidencija u knjigama Grada koji za Hrvatske vode vodi poslove vezane za NUV.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obveza iskazanih na ovom AOP, obveze Grada iznose 360.010,00 kn. Tako da od obveza iskazanih na AOP 038 na Grad Supetar otpada 5.515.524,00 kuna.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095 Iskazane obveze za tuzemne kredite i zajmove odnose se na zajam za izgradnju komunalne infrastrukture.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099 Obveze za rashode poslovanja odnose se na obveze za plaće gradske uprave i materijalne troškove.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100 Obveze za nabavu nefinancijske imovine odnose se na obročnu otplatu zemlje za groblje u Supetru.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br. 2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 i rashode za nabavu nefinancijske imovine iznose 2.451.082,00 kuna i čine 44% ukupnih obveza, a ostale tekuće obveze iznose 21%.</w:t>
      </w: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po zajmovima i nedospjele obveze čine 33% ukupnih prihoda.</w:t>
      </w:r>
    </w:p>
    <w:p w:rsidR="002A4B42" w:rsidRPr="002A4B42" w:rsidRDefault="002A4B42" w:rsidP="002A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obveza odgovara uobičajenoj strukturi kad račun Grada nije u blokadi.</w:t>
      </w:r>
    </w:p>
    <w:sectPr w:rsidR="002A4B42" w:rsidRPr="002A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91"/>
    <w:rsid w:val="00077138"/>
    <w:rsid w:val="0020651F"/>
    <w:rsid w:val="002A4B42"/>
    <w:rsid w:val="0046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GS-POS2</dc:creator>
  <cp:keywords/>
  <dc:description/>
  <cp:lastModifiedBy>GS-POS2</cp:lastModifiedBy>
  <cp:revision>3</cp:revision>
  <dcterms:created xsi:type="dcterms:W3CDTF">2015-04-16T05:35:00Z</dcterms:created>
  <dcterms:modified xsi:type="dcterms:W3CDTF">2015-04-16T08:28:00Z</dcterms:modified>
</cp:coreProperties>
</file>